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25" w:type="dxa"/>
        <w:tblInd w:w="-72" w:type="dxa"/>
        <w:tblLook w:val="04A0" w:firstRow="1" w:lastRow="0" w:firstColumn="1" w:lastColumn="0" w:noHBand="0" w:noVBand="1"/>
      </w:tblPr>
      <w:tblGrid>
        <w:gridCol w:w="1890"/>
        <w:gridCol w:w="2773"/>
        <w:gridCol w:w="3347"/>
        <w:gridCol w:w="3015"/>
      </w:tblGrid>
      <w:tr w:rsidR="003E5527" w14:paraId="4962A0F4" w14:textId="77777777" w:rsidTr="00462A0D">
        <w:tc>
          <w:tcPr>
            <w:tcW w:w="1890" w:type="dxa"/>
          </w:tcPr>
          <w:p w14:paraId="1358FE18" w14:textId="77777777" w:rsidR="00033C0D" w:rsidRPr="003E5527" w:rsidRDefault="00033C0D" w:rsidP="003E5527">
            <w:pPr>
              <w:jc w:val="center"/>
              <w:rPr>
                <w:b/>
              </w:rPr>
            </w:pPr>
            <w:bookmarkStart w:id="0" w:name="_GoBack"/>
            <w:bookmarkEnd w:id="0"/>
            <w:r w:rsidRPr="003E5527">
              <w:rPr>
                <w:b/>
              </w:rPr>
              <w:t>Drug</w:t>
            </w:r>
          </w:p>
        </w:tc>
        <w:tc>
          <w:tcPr>
            <w:tcW w:w="2773" w:type="dxa"/>
          </w:tcPr>
          <w:p w14:paraId="5818A1DA" w14:textId="77777777" w:rsidR="00033C0D" w:rsidRPr="003E5527" w:rsidRDefault="00033C0D" w:rsidP="003E5527">
            <w:pPr>
              <w:jc w:val="center"/>
              <w:rPr>
                <w:b/>
              </w:rPr>
            </w:pPr>
            <w:r w:rsidRPr="003E5527">
              <w:rPr>
                <w:b/>
              </w:rPr>
              <w:t>Schedule II</w:t>
            </w:r>
          </w:p>
        </w:tc>
        <w:tc>
          <w:tcPr>
            <w:tcW w:w="3347" w:type="dxa"/>
          </w:tcPr>
          <w:p w14:paraId="44061ECF" w14:textId="77777777" w:rsidR="00033C0D" w:rsidRPr="003E5527" w:rsidRDefault="00033C0D" w:rsidP="003E5527">
            <w:pPr>
              <w:jc w:val="center"/>
              <w:rPr>
                <w:b/>
              </w:rPr>
            </w:pPr>
            <w:r w:rsidRPr="003E5527">
              <w:rPr>
                <w:b/>
              </w:rPr>
              <w:t>Schedule III</w:t>
            </w:r>
          </w:p>
        </w:tc>
        <w:tc>
          <w:tcPr>
            <w:tcW w:w="3015" w:type="dxa"/>
          </w:tcPr>
          <w:p w14:paraId="39D8B348" w14:textId="77777777" w:rsidR="00033C0D" w:rsidRPr="003E5527" w:rsidRDefault="00033C0D" w:rsidP="003E5527">
            <w:pPr>
              <w:jc w:val="center"/>
              <w:rPr>
                <w:b/>
              </w:rPr>
            </w:pPr>
            <w:r w:rsidRPr="003E5527">
              <w:rPr>
                <w:b/>
              </w:rPr>
              <w:t>Schedule V</w:t>
            </w:r>
          </w:p>
        </w:tc>
      </w:tr>
      <w:tr w:rsidR="003E5527" w14:paraId="68662DE2" w14:textId="77777777" w:rsidTr="00462A0D">
        <w:tc>
          <w:tcPr>
            <w:tcW w:w="1890" w:type="dxa"/>
          </w:tcPr>
          <w:p w14:paraId="67C59BA3" w14:textId="77777777" w:rsidR="00033C0D" w:rsidRDefault="00033C0D" w:rsidP="003E5527">
            <w:pPr>
              <w:ind w:left="-108" w:firstLine="108"/>
            </w:pPr>
            <w:r>
              <w:t>Codeine</w:t>
            </w:r>
          </w:p>
        </w:tc>
        <w:tc>
          <w:tcPr>
            <w:tcW w:w="2773" w:type="dxa"/>
          </w:tcPr>
          <w:p w14:paraId="22F0A4BE" w14:textId="77777777" w:rsidR="00033C0D" w:rsidRDefault="00E9212E">
            <w:r>
              <w:t>Codeine alone</w:t>
            </w:r>
            <w:r w:rsidR="001366F6">
              <w:t xml:space="preserve"> or greater than amounts indicated in CIII and CV</w:t>
            </w:r>
          </w:p>
        </w:tc>
        <w:tc>
          <w:tcPr>
            <w:tcW w:w="3347" w:type="dxa"/>
          </w:tcPr>
          <w:p w14:paraId="04ECCF6A" w14:textId="77777777" w:rsidR="00033C0D" w:rsidRDefault="00262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Not more than </w:t>
            </w:r>
            <w:r w:rsidR="00033C0D">
              <w:rPr>
                <w:rFonts w:ascii="Cambria" w:hAnsi="Cambria"/>
              </w:rPr>
              <w:t>1.8 grams/100 mL</w:t>
            </w:r>
            <w:r>
              <w:rPr>
                <w:rFonts w:ascii="Cambria" w:hAnsi="Cambria"/>
              </w:rPr>
              <w:t xml:space="preserve"> or </w:t>
            </w:r>
            <w:r w:rsidR="00033C0D">
              <w:rPr>
                <w:rFonts w:ascii="Cambria" w:hAnsi="Cambria"/>
              </w:rPr>
              <w:t>90 mg per dosage unit</w:t>
            </w:r>
          </w:p>
          <w:p w14:paraId="5612819D" w14:textId="67188F88" w:rsidR="00033C0D" w:rsidRDefault="00033C0D" w:rsidP="00033C0D">
            <w:r>
              <w:t>with an equal or greater quantity of an isoquinoline</w:t>
            </w:r>
            <w:r w:rsidR="003E5527">
              <w:t xml:space="preserve"> </w:t>
            </w:r>
            <w:r>
              <w:t>alkaloid of opium OR with one or more active, non-narcotic ingredients in</w:t>
            </w:r>
          </w:p>
          <w:p w14:paraId="1F035674" w14:textId="77777777" w:rsidR="00033C0D" w:rsidRDefault="00033C0D" w:rsidP="00033C0D">
            <w:r>
              <w:t>recognized therapeutic amounts.</w:t>
            </w:r>
          </w:p>
        </w:tc>
        <w:tc>
          <w:tcPr>
            <w:tcW w:w="3015" w:type="dxa"/>
          </w:tcPr>
          <w:p w14:paraId="5E1861A0" w14:textId="5290478E" w:rsidR="00033C0D" w:rsidRDefault="002624F1">
            <w:r>
              <w:rPr>
                <w:rFonts w:ascii="Cambria" w:hAnsi="Cambria"/>
              </w:rPr>
              <w:t xml:space="preserve">Not more than </w:t>
            </w:r>
            <w:r w:rsidR="00033C0D">
              <w:rPr>
                <w:rFonts w:ascii="Cambria" w:hAnsi="Cambria"/>
              </w:rPr>
              <w:t>200</w:t>
            </w:r>
            <w:r>
              <w:rPr>
                <w:rFonts w:ascii="Cambria" w:hAnsi="Cambria"/>
              </w:rPr>
              <w:t xml:space="preserve"> </w:t>
            </w:r>
            <w:r w:rsidR="00462A0D">
              <w:rPr>
                <w:rFonts w:ascii="Cambria" w:hAnsi="Cambria"/>
              </w:rPr>
              <w:t>mg per</w:t>
            </w:r>
            <w:r w:rsidR="00A815A0">
              <w:rPr>
                <w:rFonts w:ascii="Cambria" w:hAnsi="Cambria"/>
              </w:rPr>
              <w:t xml:space="preserve"> </w:t>
            </w:r>
            <w:r w:rsidR="00033C0D">
              <w:rPr>
                <w:rFonts w:ascii="Cambria" w:hAnsi="Cambria"/>
              </w:rPr>
              <w:t>100 mL or 100 g</w:t>
            </w:r>
          </w:p>
        </w:tc>
      </w:tr>
      <w:tr w:rsidR="003E5527" w14:paraId="6161EF8F" w14:textId="77777777" w:rsidTr="00462A0D">
        <w:trPr>
          <w:trHeight w:val="168"/>
        </w:trPr>
        <w:tc>
          <w:tcPr>
            <w:tcW w:w="1890" w:type="dxa"/>
          </w:tcPr>
          <w:p w14:paraId="32FB337C" w14:textId="77777777" w:rsidR="00033C0D" w:rsidRDefault="00033C0D">
            <w:r>
              <w:t>Dihydrocodeine</w:t>
            </w:r>
          </w:p>
        </w:tc>
        <w:tc>
          <w:tcPr>
            <w:tcW w:w="2773" w:type="dxa"/>
          </w:tcPr>
          <w:p w14:paraId="69F2E39A" w14:textId="77777777" w:rsidR="00033C0D" w:rsidRDefault="001366F6">
            <w:r>
              <w:t>Dihydrocodeine alone or greater than amounts indicated in CIII and CV</w:t>
            </w:r>
          </w:p>
        </w:tc>
        <w:tc>
          <w:tcPr>
            <w:tcW w:w="3347" w:type="dxa"/>
          </w:tcPr>
          <w:p w14:paraId="261276B2" w14:textId="77777777" w:rsidR="00033C0D" w:rsidRPr="00033C0D" w:rsidRDefault="00262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Not more than </w:t>
            </w:r>
            <w:r w:rsidR="00033C0D">
              <w:rPr>
                <w:rFonts w:ascii="Cambria" w:hAnsi="Cambria"/>
              </w:rPr>
              <w:t>1.8 grams/100 mL or not more than 90 mg per dosage unit, with one or more active, nononarcotic ingredients in recognized therapeutic amounts.</w:t>
            </w:r>
          </w:p>
        </w:tc>
        <w:tc>
          <w:tcPr>
            <w:tcW w:w="3015" w:type="dxa"/>
          </w:tcPr>
          <w:p w14:paraId="2D6045C9" w14:textId="4F1F503E" w:rsidR="00033C0D" w:rsidRDefault="00781398">
            <w:r>
              <w:rPr>
                <w:rFonts w:ascii="Cambria" w:hAnsi="Cambria"/>
              </w:rPr>
              <w:t xml:space="preserve">Not more than 100 mg per </w:t>
            </w:r>
            <w:r w:rsidR="002624F1">
              <w:rPr>
                <w:rFonts w:ascii="Cambria" w:hAnsi="Cambria"/>
              </w:rPr>
              <w:t>100 mL or 100 g</w:t>
            </w:r>
          </w:p>
        </w:tc>
      </w:tr>
      <w:tr w:rsidR="003E5527" w14:paraId="4FAEE984" w14:textId="77777777" w:rsidTr="00462A0D">
        <w:tc>
          <w:tcPr>
            <w:tcW w:w="1890" w:type="dxa"/>
          </w:tcPr>
          <w:p w14:paraId="05301BFE" w14:textId="77777777" w:rsidR="00033C0D" w:rsidRDefault="00033C0D">
            <w:r>
              <w:t>Morphine</w:t>
            </w:r>
          </w:p>
        </w:tc>
        <w:tc>
          <w:tcPr>
            <w:tcW w:w="2773" w:type="dxa"/>
          </w:tcPr>
          <w:p w14:paraId="21AE86FD" w14:textId="77777777" w:rsidR="00033C0D" w:rsidRDefault="001366F6">
            <w:r>
              <w:t>Morphine alone or in greater amounts indicated in CIII</w:t>
            </w:r>
          </w:p>
        </w:tc>
        <w:tc>
          <w:tcPr>
            <w:tcW w:w="3347" w:type="dxa"/>
          </w:tcPr>
          <w:p w14:paraId="3F7D55BA" w14:textId="77777777" w:rsidR="00033C0D" w:rsidRDefault="002624F1">
            <w:r>
              <w:rPr>
                <w:rFonts w:ascii="Cambria" w:hAnsi="Cambria"/>
              </w:rPr>
              <w:t xml:space="preserve">Not more than </w:t>
            </w:r>
            <w:r w:rsidR="00033C0D">
              <w:rPr>
                <w:rFonts w:ascii="Cambria" w:hAnsi="Cambria"/>
              </w:rPr>
              <w:t>50 mg/100 mL or 100 g with one or more active, nonnarcotic ingredients in recognized therapeutic amounts</w:t>
            </w:r>
          </w:p>
        </w:tc>
        <w:tc>
          <w:tcPr>
            <w:tcW w:w="3015" w:type="dxa"/>
          </w:tcPr>
          <w:p w14:paraId="464E94CA" w14:textId="77777777" w:rsidR="00033C0D" w:rsidRDefault="002624F1" w:rsidP="002624F1">
            <w:pPr>
              <w:jc w:val="center"/>
            </w:pPr>
            <w:r>
              <w:t>X</w:t>
            </w:r>
          </w:p>
        </w:tc>
      </w:tr>
      <w:tr w:rsidR="003E5527" w14:paraId="3A0C259F" w14:textId="77777777" w:rsidTr="00462A0D">
        <w:tc>
          <w:tcPr>
            <w:tcW w:w="1890" w:type="dxa"/>
          </w:tcPr>
          <w:p w14:paraId="04414885" w14:textId="77777777" w:rsidR="00033C0D" w:rsidRDefault="00033C0D" w:rsidP="00033C0D">
            <w:r>
              <w:t>Opium</w:t>
            </w:r>
          </w:p>
        </w:tc>
        <w:tc>
          <w:tcPr>
            <w:tcW w:w="2773" w:type="dxa"/>
          </w:tcPr>
          <w:p w14:paraId="5787C871" w14:textId="77777777" w:rsidR="00033C0D" w:rsidRDefault="002624F1">
            <w:r>
              <w:t xml:space="preserve">Opium alone </w:t>
            </w:r>
            <w:r w:rsidR="001366F6">
              <w:t>or in greater amounts indicated in CIII and CV</w:t>
            </w:r>
          </w:p>
        </w:tc>
        <w:tc>
          <w:tcPr>
            <w:tcW w:w="3347" w:type="dxa"/>
          </w:tcPr>
          <w:p w14:paraId="0F2184C0" w14:textId="77777777" w:rsidR="00033C0D" w:rsidRDefault="00262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more than 500 mg/100 mL or 100 grams or not more than</w:t>
            </w:r>
            <w:r w:rsidR="00033C0D">
              <w:rPr>
                <w:rFonts w:ascii="Cambria" w:hAnsi="Cambria"/>
              </w:rPr>
              <w:t xml:space="preserve"> 25 mg per dosage unit</w:t>
            </w:r>
          </w:p>
          <w:p w14:paraId="3C6E20EA" w14:textId="5EA7988A" w:rsidR="00033C0D" w:rsidRDefault="00033C0D" w:rsidP="00033C0D">
            <w:r>
              <w:t>with one or more active,</w:t>
            </w:r>
            <w:r w:rsidR="003E5527">
              <w:t xml:space="preserve"> </w:t>
            </w:r>
            <w:r>
              <w:t>nonnarcotic ingredients in recognized therapeutic amounts.</w:t>
            </w:r>
          </w:p>
        </w:tc>
        <w:tc>
          <w:tcPr>
            <w:tcW w:w="3015" w:type="dxa"/>
          </w:tcPr>
          <w:p w14:paraId="67F195C9" w14:textId="29609CDB" w:rsidR="00033C0D" w:rsidRDefault="00462A0D">
            <w:r>
              <w:t xml:space="preserve">Not more than 100 mg per </w:t>
            </w:r>
            <w:r w:rsidR="002624F1">
              <w:t>100 mL or 100 grams</w:t>
            </w:r>
          </w:p>
        </w:tc>
      </w:tr>
      <w:tr w:rsidR="003E5527" w14:paraId="18C7EC1F" w14:textId="77777777" w:rsidTr="00462A0D">
        <w:trPr>
          <w:trHeight w:val="168"/>
        </w:trPr>
        <w:tc>
          <w:tcPr>
            <w:tcW w:w="1890" w:type="dxa"/>
          </w:tcPr>
          <w:p w14:paraId="7F0C2A49" w14:textId="77777777" w:rsidR="00033C0D" w:rsidRDefault="00033C0D" w:rsidP="00033C0D">
            <w:r>
              <w:t>Diphenoxylate-atropine</w:t>
            </w:r>
          </w:p>
        </w:tc>
        <w:tc>
          <w:tcPr>
            <w:tcW w:w="2773" w:type="dxa"/>
          </w:tcPr>
          <w:p w14:paraId="10BF3772" w14:textId="77777777" w:rsidR="00033C0D" w:rsidRDefault="002624F1">
            <w:r>
              <w:t xml:space="preserve">Diphenoxylate alone </w:t>
            </w:r>
          </w:p>
          <w:p w14:paraId="12BECCE2" w14:textId="77777777" w:rsidR="007F00B5" w:rsidRDefault="007F00B5"/>
          <w:p w14:paraId="3CC6C3FB" w14:textId="77777777" w:rsidR="007F00B5" w:rsidRDefault="00E9212E">
            <w:r>
              <w:t>**</w:t>
            </w:r>
            <w:r w:rsidR="007F00B5">
              <w:t>Atropine alone is not a control</w:t>
            </w:r>
          </w:p>
        </w:tc>
        <w:tc>
          <w:tcPr>
            <w:tcW w:w="3347" w:type="dxa"/>
          </w:tcPr>
          <w:p w14:paraId="305951C5" w14:textId="77777777" w:rsidR="00033C0D" w:rsidRDefault="007F00B5" w:rsidP="007F00B5">
            <w:pPr>
              <w:jc w:val="center"/>
            </w:pPr>
            <w:r>
              <w:t>X</w:t>
            </w:r>
          </w:p>
        </w:tc>
        <w:tc>
          <w:tcPr>
            <w:tcW w:w="3015" w:type="dxa"/>
          </w:tcPr>
          <w:p w14:paraId="6DA2C762" w14:textId="77777777" w:rsidR="00033C0D" w:rsidRDefault="002624F1">
            <w:r>
              <w:rPr>
                <w:rFonts w:ascii="Cambria" w:hAnsi="Cambria"/>
              </w:rPr>
              <w:t>Not more than 2.5 mg diphenoxylate and not less than 25 mcg of atropine sulfate</w:t>
            </w:r>
          </w:p>
        </w:tc>
      </w:tr>
      <w:tr w:rsidR="003E5527" w14:paraId="00D1AD89" w14:textId="77777777" w:rsidTr="00462A0D">
        <w:trPr>
          <w:trHeight w:val="168"/>
        </w:trPr>
        <w:tc>
          <w:tcPr>
            <w:tcW w:w="1890" w:type="dxa"/>
          </w:tcPr>
          <w:p w14:paraId="48BA1BEE" w14:textId="77777777" w:rsidR="00033C0D" w:rsidRDefault="00033C0D" w:rsidP="00033C0D">
            <w:r>
              <w:t>Ethylmorphine</w:t>
            </w:r>
          </w:p>
        </w:tc>
        <w:tc>
          <w:tcPr>
            <w:tcW w:w="2773" w:type="dxa"/>
          </w:tcPr>
          <w:p w14:paraId="26CE5BEB" w14:textId="01D01D64" w:rsidR="00033C0D" w:rsidRDefault="00462A0D">
            <w:r>
              <w:t>Ethylmorphine alone or in greater amounts than indicated in CIII and CV</w:t>
            </w:r>
          </w:p>
        </w:tc>
        <w:tc>
          <w:tcPr>
            <w:tcW w:w="3347" w:type="dxa"/>
          </w:tcPr>
          <w:p w14:paraId="55A913C5" w14:textId="77777777" w:rsidR="00033C0D" w:rsidRDefault="00262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 more than</w:t>
            </w:r>
            <w:r w:rsidR="00033C0D">
              <w:rPr>
                <w:rFonts w:ascii="Cambria" w:hAnsi="Cambria"/>
              </w:rPr>
              <w:t xml:space="preserve"> 300 mg/100 mL </w:t>
            </w:r>
            <w:r>
              <w:rPr>
                <w:rFonts w:ascii="Cambria" w:hAnsi="Cambria"/>
              </w:rPr>
              <w:t>or</w:t>
            </w:r>
            <w:r w:rsidR="00033C0D">
              <w:rPr>
                <w:rFonts w:ascii="Cambria" w:hAnsi="Cambria"/>
              </w:rPr>
              <w:t xml:space="preserve"> 15 mg per dosage unit</w:t>
            </w:r>
          </w:p>
          <w:p w14:paraId="52685EC2" w14:textId="77777777" w:rsidR="00033C0D" w:rsidRDefault="00033C0D" w:rsidP="00033C0D">
            <w:r>
              <w:t>with one or more active,</w:t>
            </w:r>
          </w:p>
          <w:p w14:paraId="09080B6D" w14:textId="77777777" w:rsidR="00033C0D" w:rsidRDefault="00033C0D" w:rsidP="00033C0D">
            <w:r>
              <w:t>nonnarcotic ingredients in recognized therapeutic amounts.</w:t>
            </w:r>
          </w:p>
        </w:tc>
        <w:tc>
          <w:tcPr>
            <w:tcW w:w="3015" w:type="dxa"/>
          </w:tcPr>
          <w:p w14:paraId="14AB0B00" w14:textId="74278C3A" w:rsidR="00033C0D" w:rsidRDefault="00462A0D">
            <w:r>
              <w:rPr>
                <w:rFonts w:ascii="Cambria" w:hAnsi="Cambria"/>
              </w:rPr>
              <w:t xml:space="preserve">Not more than 100 mg per </w:t>
            </w:r>
            <w:r w:rsidR="002624F1">
              <w:rPr>
                <w:rFonts w:ascii="Cambria" w:hAnsi="Cambria"/>
              </w:rPr>
              <w:t>100 mL or 100 g</w:t>
            </w:r>
          </w:p>
        </w:tc>
      </w:tr>
    </w:tbl>
    <w:p w14:paraId="06FB0C88" w14:textId="77777777" w:rsidR="00234BC7" w:rsidRDefault="00234BC7"/>
    <w:p w14:paraId="681C73E1" w14:textId="77777777" w:rsidR="007F00B5" w:rsidRDefault="007F00B5">
      <w:r>
        <w:t>Fiornal is a CIII because the amount of aspirin is not enough to offset the abuse potential of butalbital.</w:t>
      </w:r>
    </w:p>
    <w:p w14:paraId="2696661B" w14:textId="77777777" w:rsidR="001366F6" w:rsidRDefault="001366F6" w:rsidP="001366F6">
      <w:pPr>
        <w:pStyle w:val="ListParagraph"/>
        <w:numPr>
          <w:ilvl w:val="0"/>
          <w:numId w:val="2"/>
        </w:numPr>
      </w:pPr>
      <w:r>
        <w:t>Fiornal with codeine is a CIII</w:t>
      </w:r>
    </w:p>
    <w:p w14:paraId="72D7D00E" w14:textId="6FC67299" w:rsidR="007F00B5" w:rsidRDefault="007F00B5">
      <w:r>
        <w:t xml:space="preserve">Fiorcet is a </w:t>
      </w:r>
      <w:r w:rsidR="00F66D0E">
        <w:t xml:space="preserve">NOT a control </w:t>
      </w:r>
      <w:r>
        <w:t>because the amount of acetaminophen is enough to offset the abuse potential of butalbital.</w:t>
      </w:r>
    </w:p>
    <w:p w14:paraId="2830BD29" w14:textId="1C07EFC8" w:rsidR="00105438" w:rsidRDefault="00105438" w:rsidP="00105438">
      <w:pPr>
        <w:pStyle w:val="ListParagraph"/>
        <w:numPr>
          <w:ilvl w:val="0"/>
          <w:numId w:val="1"/>
        </w:numPr>
      </w:pPr>
      <w:r>
        <w:t>The APAP to butalbital ratio has to be greater than 70mg:15mg to be considered a non-control (Fiorcet is approx. 97mg:15mg)</w:t>
      </w:r>
    </w:p>
    <w:p w14:paraId="5C559668" w14:textId="77777777" w:rsidR="001366F6" w:rsidRDefault="001366F6" w:rsidP="001366F6">
      <w:pPr>
        <w:pStyle w:val="ListParagraph"/>
        <w:numPr>
          <w:ilvl w:val="0"/>
          <w:numId w:val="1"/>
        </w:numPr>
      </w:pPr>
      <w:r>
        <w:t>Fiorcet with codeine is a CIII</w:t>
      </w:r>
    </w:p>
    <w:p w14:paraId="0248B92B" w14:textId="77777777" w:rsidR="00105438" w:rsidRDefault="00105438" w:rsidP="00CB0061"/>
    <w:p w14:paraId="3AF456CD" w14:textId="6A44ACA2" w:rsidR="00105438" w:rsidRDefault="00105438" w:rsidP="00CB0061">
      <w:r>
        <w:t>Note: Dihydrocodeinone and dihydrocodeine are different. Dihyrdrocodeinone is the same thing is hydrocodone which is now ALWAYS a CII.</w:t>
      </w:r>
    </w:p>
    <w:p w14:paraId="3808563F" w14:textId="77777777" w:rsidR="00201534" w:rsidRDefault="00201534" w:rsidP="00CB0061"/>
    <w:p w14:paraId="32E18FB2" w14:textId="12526D38" w:rsidR="00201534" w:rsidRDefault="00201534" w:rsidP="00CB0061">
      <w:r>
        <w:t>Phendametrazine is a CIII. Phentermine is a CIV</w:t>
      </w:r>
    </w:p>
    <w:sectPr w:rsidR="00201534" w:rsidSect="009A19AC">
      <w:pgSz w:w="12240" w:h="15840"/>
      <w:pgMar w:top="630" w:right="72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D5A27" w14:textId="77777777" w:rsidR="00894B9B" w:rsidRDefault="00894B9B" w:rsidP="003E5527">
      <w:r>
        <w:separator/>
      </w:r>
    </w:p>
  </w:endnote>
  <w:endnote w:type="continuationSeparator" w:id="0">
    <w:p w14:paraId="6F6DF0CA" w14:textId="77777777" w:rsidR="00894B9B" w:rsidRDefault="00894B9B" w:rsidP="003E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F7164" w14:textId="77777777" w:rsidR="00894B9B" w:rsidRDefault="00894B9B" w:rsidP="003E5527">
      <w:r>
        <w:separator/>
      </w:r>
    </w:p>
  </w:footnote>
  <w:footnote w:type="continuationSeparator" w:id="0">
    <w:p w14:paraId="72E654AC" w14:textId="77777777" w:rsidR="00894B9B" w:rsidRDefault="00894B9B" w:rsidP="003E5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230"/>
    <w:multiLevelType w:val="hybridMultilevel"/>
    <w:tmpl w:val="4A8C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321D"/>
    <w:multiLevelType w:val="hybridMultilevel"/>
    <w:tmpl w:val="760E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0D"/>
    <w:rsid w:val="00033C0D"/>
    <w:rsid w:val="00105438"/>
    <w:rsid w:val="001366F6"/>
    <w:rsid w:val="00201534"/>
    <w:rsid w:val="00234BC7"/>
    <w:rsid w:val="002624F1"/>
    <w:rsid w:val="003E5527"/>
    <w:rsid w:val="003E7608"/>
    <w:rsid w:val="00462A0D"/>
    <w:rsid w:val="006C3FC3"/>
    <w:rsid w:val="00781398"/>
    <w:rsid w:val="007F00B5"/>
    <w:rsid w:val="00894B9B"/>
    <w:rsid w:val="009A19AC"/>
    <w:rsid w:val="00A815A0"/>
    <w:rsid w:val="00CB0061"/>
    <w:rsid w:val="00E35AC7"/>
    <w:rsid w:val="00E64189"/>
    <w:rsid w:val="00E9212E"/>
    <w:rsid w:val="00F66D0E"/>
    <w:rsid w:val="00F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ABD6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6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527"/>
  </w:style>
  <w:style w:type="paragraph" w:styleId="Footer">
    <w:name w:val="footer"/>
    <w:basedOn w:val="Normal"/>
    <w:link w:val="FooterChar"/>
    <w:uiPriority w:val="99"/>
    <w:unhideWhenUsed/>
    <w:rsid w:val="003E5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B69DF-BA54-4C9A-BE28-82B5A3FD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Grashma Vadakkel</dc:creator>
  <cp:keywords/>
  <dc:description/>
  <cp:lastModifiedBy>Piszczatoski Christopher</cp:lastModifiedBy>
  <cp:revision>2</cp:revision>
  <dcterms:created xsi:type="dcterms:W3CDTF">2019-03-20T14:26:00Z</dcterms:created>
  <dcterms:modified xsi:type="dcterms:W3CDTF">2019-03-20T14:26:00Z</dcterms:modified>
</cp:coreProperties>
</file>